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FORNECIMENTO DE OXIGÊNIO PARA O CISOP E SIMPR, vem adjudicar o presente processo administrativo de licitação, na modalidade Pregão Eletrônico nº 59/2022,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A T NICOLLI - COMÉRCIO DE OXIGÊNIO: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 xml:space="preserve">Cascavel, </w:t>
      </w:r>
      <w:r>
        <w:rPr>
          <w:rFonts w:cs="Arial" w:ascii="Arial" w:hAnsi="Arial"/>
          <w:sz w:val="24"/>
          <w:szCs w:val="24"/>
        </w:rPr>
        <w:t>09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</w:rPr>
        <w:t>setembro</w:t>
      </w:r>
      <w:r>
        <w:rPr>
          <w:rFonts w:cs="Arial" w:ascii="Arial" w:hAnsi="Arial"/>
          <w:sz w:val="24"/>
          <w:szCs w:val="24"/>
        </w:rPr>
        <w:t xml:space="preserve">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121</Words>
  <Characters>681</Characters>
  <CharactersWithSpaces>846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2022-09-09T09:14:02Z</cp:lastPrinted>
  <dcterms:modified xsi:type="dcterms:W3CDTF">2022-09-09T09:15:06Z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